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E49B" w14:textId="77777777" w:rsidR="004C1758" w:rsidRPr="00571A28" w:rsidRDefault="004C1758" w:rsidP="004C1758">
      <w:pPr>
        <w:pBdr>
          <w:top w:val="single" w:sz="24" w:space="0" w:color="DEEAF6"/>
          <w:left w:val="single" w:sz="24" w:space="0" w:color="DEEAF6"/>
          <w:bottom w:val="single" w:sz="24" w:space="0" w:color="DEEAF6"/>
          <w:right w:val="single" w:sz="24" w:space="0" w:color="DEEAF6"/>
        </w:pBdr>
        <w:shd w:val="clear" w:color="auto" w:fill="DEEAF6"/>
        <w:spacing w:after="0"/>
        <w:outlineLvl w:val="1"/>
        <w:rPr>
          <w:caps/>
          <w:spacing w:val="15"/>
        </w:rPr>
      </w:pPr>
      <w:r w:rsidRPr="00571A28">
        <w:rPr>
          <w:caps/>
          <w:spacing w:val="15"/>
        </w:rPr>
        <w:t xml:space="preserve">CURRICULUM VITAE </w:t>
      </w:r>
    </w:p>
    <w:p w14:paraId="25AAE082" w14:textId="77777777" w:rsidR="004C1758" w:rsidRPr="00571A28" w:rsidRDefault="004C1758" w:rsidP="004C1758">
      <w:pPr>
        <w:pBdr>
          <w:top w:val="single" w:sz="24" w:space="0" w:color="5B9BD5"/>
          <w:left w:val="single" w:sz="24" w:space="0" w:color="5B9BD5"/>
          <w:bottom w:val="single" w:sz="24" w:space="0" w:color="5B9BD5"/>
          <w:right w:val="single" w:sz="24" w:space="0" w:color="5B9BD5"/>
        </w:pBdr>
        <w:shd w:val="clear" w:color="auto" w:fill="5B9BD5"/>
        <w:spacing w:after="0"/>
        <w:outlineLvl w:val="0"/>
        <w:rPr>
          <w:caps/>
          <w:color w:val="FFFFFF"/>
          <w:spacing w:val="15"/>
        </w:rPr>
      </w:pPr>
      <w:r w:rsidRPr="00571A28">
        <w:rPr>
          <w:caps/>
          <w:color w:val="FFFFFF"/>
          <w:spacing w:val="15"/>
        </w:rPr>
        <w:t>Dr Nicholas Kearsley, General Practitioner</w:t>
      </w:r>
    </w:p>
    <w:p w14:paraId="277398AB" w14:textId="77777777" w:rsidR="004C1758" w:rsidRPr="00651F80" w:rsidRDefault="004C1758" w:rsidP="004C1758">
      <w:r w:rsidRPr="00651F80">
        <w:t>GMC Registration:</w:t>
      </w:r>
      <w:r w:rsidRPr="00651F80">
        <w:rPr>
          <w:b/>
        </w:rPr>
        <w:tab/>
      </w:r>
      <w:r w:rsidRPr="00651F80">
        <w:rPr>
          <w:b/>
        </w:rPr>
        <w:tab/>
      </w:r>
      <w:r w:rsidRPr="00651F80">
        <w:rPr>
          <w:b/>
        </w:rPr>
        <w:tab/>
      </w:r>
      <w:r w:rsidRPr="00651F80">
        <w:t xml:space="preserve">2481465 </w:t>
      </w:r>
    </w:p>
    <w:p w14:paraId="18B4AFDD" w14:textId="719D1A8E" w:rsidR="004C1758" w:rsidRPr="00651F80" w:rsidRDefault="004C1758" w:rsidP="004C1758">
      <w:r w:rsidRPr="00651F80">
        <w:t>Registration Status</w:t>
      </w:r>
      <w:r w:rsidRPr="00651F80">
        <w:tab/>
      </w:r>
      <w:r w:rsidRPr="00651F80">
        <w:tab/>
      </w:r>
      <w:r w:rsidRPr="00651F80">
        <w:tab/>
      </w:r>
      <w:r w:rsidR="00982F90">
        <w:t xml:space="preserve">Registered without </w:t>
      </w:r>
      <w:r w:rsidRPr="00651F80">
        <w:t>Licence to Practice</w:t>
      </w:r>
    </w:p>
    <w:p w14:paraId="66CB7FA8" w14:textId="74F90BE0" w:rsidR="004C1758" w:rsidRPr="00651F80" w:rsidRDefault="00982F90" w:rsidP="004C1758">
      <w:r>
        <w:t xml:space="preserve">Expert Witness </w:t>
      </w:r>
      <w:r w:rsidR="004C1758" w:rsidRPr="00651F80">
        <w:t>Indemnity</w:t>
      </w:r>
      <w:r>
        <w:t xml:space="preserve"> </w:t>
      </w:r>
      <w:r w:rsidR="004C1758" w:rsidRPr="00651F80">
        <w:tab/>
      </w:r>
      <w:r w:rsidR="004C1758" w:rsidRPr="00651F80">
        <w:tab/>
      </w:r>
      <w:r w:rsidR="004C1758" w:rsidRPr="00651F80">
        <w:tab/>
        <w:t>M</w:t>
      </w:r>
      <w:r>
        <w:t>arkel Policy Number P38546</w:t>
      </w:r>
    </w:p>
    <w:p w14:paraId="27ED5016" w14:textId="77777777" w:rsidR="004C1758" w:rsidRPr="00651F80" w:rsidRDefault="004C1758" w:rsidP="004C1758"/>
    <w:p w14:paraId="56261FBA" w14:textId="77777777" w:rsidR="004C1758" w:rsidRPr="00571A28" w:rsidRDefault="004C1758" w:rsidP="004C1758">
      <w:pPr>
        <w:pBdr>
          <w:top w:val="single" w:sz="24" w:space="0" w:color="DEEAF6"/>
          <w:left w:val="single" w:sz="24" w:space="0" w:color="DEEAF6"/>
          <w:bottom w:val="single" w:sz="24" w:space="0" w:color="DEEAF6"/>
          <w:right w:val="single" w:sz="24" w:space="0" w:color="DEEAF6"/>
        </w:pBdr>
        <w:shd w:val="clear" w:color="auto" w:fill="DEEAF6"/>
        <w:spacing w:after="0"/>
        <w:outlineLvl w:val="1"/>
        <w:rPr>
          <w:caps/>
          <w:spacing w:val="15"/>
        </w:rPr>
      </w:pPr>
      <w:r w:rsidRPr="00571A28">
        <w:rPr>
          <w:caps/>
          <w:spacing w:val="15"/>
        </w:rPr>
        <w:t>Qualifications</w:t>
      </w:r>
    </w:p>
    <w:p w14:paraId="0F9C0435" w14:textId="77777777" w:rsidR="004C1758" w:rsidRPr="00571A28" w:rsidRDefault="004C1758" w:rsidP="00982F90">
      <w:pPr>
        <w:spacing w:line="360" w:lineRule="auto"/>
      </w:pPr>
      <w:r w:rsidRPr="00571A28">
        <w:t>MBChB - Sheffield University medical degree</w:t>
      </w:r>
    </w:p>
    <w:p w14:paraId="6F5A0C5D" w14:textId="273F34AE" w:rsidR="004C1758" w:rsidRPr="00571A28" w:rsidRDefault="00982F90" w:rsidP="00982F90">
      <w:pPr>
        <w:spacing w:line="360" w:lineRule="auto"/>
      </w:pPr>
      <w:r>
        <w:t>MRC</w:t>
      </w:r>
      <w:r w:rsidR="004C1758" w:rsidRPr="00571A28">
        <w:t>GP - Member of the Royal College of General Practitioners</w:t>
      </w:r>
    </w:p>
    <w:p w14:paraId="6C9944F1" w14:textId="77777777" w:rsidR="004C1758" w:rsidRPr="00571A28" w:rsidRDefault="004C1758" w:rsidP="004C1758">
      <w:pPr>
        <w:spacing w:line="360" w:lineRule="auto"/>
        <w:ind w:left="2880"/>
      </w:pPr>
    </w:p>
    <w:p w14:paraId="4EF6C6D0" w14:textId="77777777" w:rsidR="004C1758" w:rsidRPr="00571A28" w:rsidRDefault="004C1758" w:rsidP="004C1758">
      <w:pPr>
        <w:pBdr>
          <w:top w:val="single" w:sz="24" w:space="0" w:color="DEEAF6"/>
          <w:left w:val="single" w:sz="24" w:space="0" w:color="DEEAF6"/>
          <w:bottom w:val="single" w:sz="24" w:space="0" w:color="DEEAF6"/>
          <w:right w:val="single" w:sz="24" w:space="0" w:color="DEEAF6"/>
        </w:pBdr>
        <w:shd w:val="clear" w:color="auto" w:fill="DEEAF6"/>
        <w:spacing w:after="0"/>
        <w:outlineLvl w:val="1"/>
        <w:rPr>
          <w:caps/>
          <w:spacing w:val="15"/>
        </w:rPr>
      </w:pPr>
      <w:r w:rsidRPr="00571A28">
        <w:rPr>
          <w:caps/>
          <w:spacing w:val="15"/>
        </w:rPr>
        <w:t>Clinical Negligence Work</w:t>
      </w:r>
    </w:p>
    <w:p w14:paraId="6C35FDBD" w14:textId="77777777" w:rsidR="004C1758" w:rsidRPr="00571A28" w:rsidRDefault="004C1758" w:rsidP="004C1758">
      <w:r w:rsidRPr="00571A28">
        <w:t xml:space="preserve">Dr Kearsley has been involved in General Practice clinical negligence work since 1998.  He has been involved in over a thousand cases, having been instructed by both claimant and defendant solicitors.  </w:t>
      </w:r>
    </w:p>
    <w:p w14:paraId="6E54363E" w14:textId="3ED4B122" w:rsidR="004C1758" w:rsidRDefault="004C1758" w:rsidP="004C1758">
      <w:r w:rsidRPr="00571A28">
        <w:t>He is comfortable with all the stages of the medico-legal process.  He has given evidence in Court on many occasions in the United Kingdom and the Republic of Ireland.</w:t>
      </w:r>
    </w:p>
    <w:p w14:paraId="2FB1C8A8" w14:textId="77777777" w:rsidR="004C1758" w:rsidRPr="00571A28" w:rsidRDefault="004C1758" w:rsidP="004C1758"/>
    <w:p w14:paraId="526BB0AB" w14:textId="77777777" w:rsidR="004C1758" w:rsidRPr="00571A28" w:rsidRDefault="004C1758" w:rsidP="004C1758">
      <w:pPr>
        <w:pBdr>
          <w:top w:val="single" w:sz="24" w:space="0" w:color="DEEAF6"/>
          <w:left w:val="single" w:sz="24" w:space="0" w:color="DEEAF6"/>
          <w:bottom w:val="single" w:sz="24" w:space="0" w:color="DEEAF6"/>
          <w:right w:val="single" w:sz="24" w:space="0" w:color="DEEAF6"/>
        </w:pBdr>
        <w:shd w:val="clear" w:color="auto" w:fill="DEEAF6"/>
        <w:spacing w:after="0"/>
        <w:outlineLvl w:val="1"/>
        <w:rPr>
          <w:caps/>
          <w:spacing w:val="15"/>
        </w:rPr>
      </w:pPr>
      <w:r w:rsidRPr="00571A28">
        <w:rPr>
          <w:caps/>
          <w:spacing w:val="15"/>
        </w:rPr>
        <w:t>Training and Consultancy Work</w:t>
      </w:r>
    </w:p>
    <w:p w14:paraId="08656F95" w14:textId="77777777" w:rsidR="004C1758" w:rsidRPr="00571A28" w:rsidRDefault="004C1758" w:rsidP="004C1758">
      <w:r w:rsidRPr="00571A28">
        <w:t xml:space="preserve">Dr Kearsley has run training courses for GPs and primary care organisations in clinical risk management, clinical negligence and how to avoid complaints and litigation.  </w:t>
      </w:r>
    </w:p>
    <w:p w14:paraId="36766A57" w14:textId="77777777" w:rsidR="004C1758" w:rsidRPr="00571A28" w:rsidRDefault="004C1758" w:rsidP="004C1758">
      <w:r w:rsidRPr="00571A28">
        <w:t xml:space="preserve">He has worked as an Associate Consultant in Clinical Risk Management.  This involved assessing and advising on areas of clinical risk within health organisations, mainly in general practice.  </w:t>
      </w:r>
    </w:p>
    <w:p w14:paraId="77DA62D2" w14:textId="466A5416" w:rsidR="004C1758" w:rsidRPr="00571A28" w:rsidRDefault="004C1758" w:rsidP="004C1758">
      <w:r w:rsidRPr="00571A28">
        <w:t>Dr Kearsley has also worked as a Local Complaints Adviser.  This involved assisting, advising</w:t>
      </w:r>
      <w:r w:rsidR="00982F90">
        <w:t>,</w:t>
      </w:r>
      <w:r w:rsidRPr="00571A28">
        <w:t xml:space="preserve"> and supporting doctors in different stages of the NHS complaints procedure.  He has assisted doctors at Independent Review and with the Ombudsman process.</w:t>
      </w:r>
    </w:p>
    <w:p w14:paraId="100DFC9E" w14:textId="77777777" w:rsidR="004C1758" w:rsidRPr="00571A28" w:rsidRDefault="004C1758" w:rsidP="004C1758">
      <w:r w:rsidRPr="00571A28">
        <w:t>Dr Kearsley has provided training courses for solicitors in the General Practice aspects of clinical negligence.  He has organised and presented training courses for medical experts in clinical negligence.</w:t>
      </w:r>
    </w:p>
    <w:p w14:paraId="03A0E34A" w14:textId="77777777" w:rsidR="004C1758" w:rsidRPr="00571A28" w:rsidRDefault="004C1758" w:rsidP="004C1758">
      <w:r w:rsidRPr="00571A28">
        <w:br w:type="page"/>
      </w:r>
    </w:p>
    <w:p w14:paraId="4E3C2F9A" w14:textId="77777777" w:rsidR="004C1758" w:rsidRPr="00571A28" w:rsidRDefault="004C1758" w:rsidP="004C1758">
      <w:pPr>
        <w:pBdr>
          <w:top w:val="single" w:sz="24" w:space="0" w:color="DEEAF6"/>
          <w:left w:val="single" w:sz="24" w:space="0" w:color="DEEAF6"/>
          <w:bottom w:val="single" w:sz="24" w:space="0" w:color="DEEAF6"/>
          <w:right w:val="single" w:sz="24" w:space="0" w:color="DEEAF6"/>
        </w:pBdr>
        <w:shd w:val="clear" w:color="auto" w:fill="DEEAF6"/>
        <w:spacing w:after="0"/>
        <w:outlineLvl w:val="1"/>
        <w:rPr>
          <w:caps/>
          <w:spacing w:val="15"/>
        </w:rPr>
      </w:pPr>
      <w:r w:rsidRPr="00571A28">
        <w:rPr>
          <w:caps/>
          <w:spacing w:val="15"/>
        </w:rPr>
        <w:lastRenderedPageBreak/>
        <w:t>Accreditation</w:t>
      </w:r>
    </w:p>
    <w:p w14:paraId="75FAF6BE" w14:textId="0C2ECDB3" w:rsidR="004C1758" w:rsidRPr="00571A28" w:rsidRDefault="004C1758" w:rsidP="004C1758">
      <w:r w:rsidRPr="00571A28">
        <w:t>Dr Kearsley is an AVMA panel member</w:t>
      </w:r>
      <w:r w:rsidR="00593CBB">
        <w:t xml:space="preserve">.  </w:t>
      </w:r>
      <w:r w:rsidRPr="00571A28">
        <w:t>He is on the APIL and NHS</w:t>
      </w:r>
      <w:r w:rsidR="00777F40">
        <w:t xml:space="preserve"> Resolution </w:t>
      </w:r>
      <w:r w:rsidRPr="00571A28">
        <w:t>panels.</w:t>
      </w:r>
    </w:p>
    <w:p w14:paraId="37D8C206" w14:textId="77777777" w:rsidR="004C1758" w:rsidRPr="00571A28" w:rsidRDefault="004C1758" w:rsidP="004C1758"/>
    <w:p w14:paraId="11982258" w14:textId="27FB45FE" w:rsidR="004C1758" w:rsidRPr="00A72103" w:rsidRDefault="004C1758" w:rsidP="004C1758">
      <w:pPr>
        <w:pBdr>
          <w:top w:val="single" w:sz="24" w:space="0" w:color="DEEAF6"/>
          <w:left w:val="single" w:sz="24" w:space="0" w:color="DEEAF6"/>
          <w:bottom w:val="single" w:sz="24" w:space="0" w:color="DEEAF6"/>
          <w:right w:val="single" w:sz="24" w:space="0" w:color="DEEAF6"/>
        </w:pBdr>
        <w:shd w:val="clear" w:color="auto" w:fill="DEEAF6"/>
        <w:spacing w:after="0"/>
        <w:outlineLvl w:val="1"/>
        <w:rPr>
          <w:iCs/>
          <w:caps/>
          <w:spacing w:val="15"/>
        </w:rPr>
      </w:pPr>
      <w:r w:rsidRPr="00A72103">
        <w:rPr>
          <w:iCs/>
          <w:caps/>
          <w:spacing w:val="15"/>
        </w:rPr>
        <w:t xml:space="preserve">Training </w:t>
      </w:r>
    </w:p>
    <w:p w14:paraId="146A4C5C" w14:textId="77777777" w:rsidR="004C1758" w:rsidRPr="00571A28" w:rsidRDefault="004C1758" w:rsidP="004C1758">
      <w:r w:rsidRPr="00571A28">
        <w:t>Dr Kearsley has attended courses including medico-legal report writing, giving evidence in court, the Civil Justice reforms, consent, the medico-legal framework, significant event audit, reducing risk, complaints, litigation and evidence</w:t>
      </w:r>
    </w:p>
    <w:p w14:paraId="4D001659" w14:textId="77777777" w:rsidR="004C1758" w:rsidRPr="00571A28" w:rsidRDefault="004C1758" w:rsidP="004C1758"/>
    <w:p w14:paraId="176645A0" w14:textId="77777777" w:rsidR="004C1758" w:rsidRPr="00571A28" w:rsidRDefault="004C1758" w:rsidP="004C1758">
      <w:pPr>
        <w:pBdr>
          <w:top w:val="single" w:sz="24" w:space="0" w:color="DEEAF6"/>
          <w:left w:val="single" w:sz="24" w:space="0" w:color="DEEAF6"/>
          <w:bottom w:val="single" w:sz="24" w:space="0" w:color="DEEAF6"/>
          <w:right w:val="single" w:sz="24" w:space="0" w:color="DEEAF6"/>
        </w:pBdr>
        <w:shd w:val="clear" w:color="auto" w:fill="DEEAF6"/>
        <w:spacing w:after="0"/>
        <w:outlineLvl w:val="1"/>
        <w:rPr>
          <w:caps/>
          <w:spacing w:val="15"/>
        </w:rPr>
      </w:pPr>
      <w:r w:rsidRPr="00571A28">
        <w:rPr>
          <w:caps/>
          <w:spacing w:val="15"/>
        </w:rPr>
        <w:t>Other medico-legal experience</w:t>
      </w:r>
    </w:p>
    <w:p w14:paraId="4989D72D" w14:textId="77777777" w:rsidR="004C1758" w:rsidRPr="00571A28" w:rsidRDefault="004C1758" w:rsidP="004C1758">
      <w:r w:rsidRPr="00571A28">
        <w:t>Dr Kearsley has experience of personal injury work; claimant, defendant and single joint expert.  He has also provided medical reports in criminal, welfare benefits and immigration cases.</w:t>
      </w:r>
    </w:p>
    <w:p w14:paraId="4810C133" w14:textId="7CBD810C" w:rsidR="004C1758" w:rsidRDefault="004C1758" w:rsidP="004C1758">
      <w:r w:rsidRPr="00571A28">
        <w:t>Dr Kearsley has been instructed to give expert opinion at coronial inquests.</w:t>
      </w:r>
    </w:p>
    <w:p w14:paraId="0D0CA944" w14:textId="77777777" w:rsidR="00366E87" w:rsidRDefault="00366E87" w:rsidP="004C1758"/>
    <w:p w14:paraId="6D7B071D" w14:textId="77777777" w:rsidR="004C1758" w:rsidRPr="00571A28" w:rsidRDefault="004C1758" w:rsidP="004C1758">
      <w:pPr>
        <w:pBdr>
          <w:top w:val="single" w:sz="24" w:space="0" w:color="DEEAF6"/>
          <w:left w:val="single" w:sz="24" w:space="0" w:color="DEEAF6"/>
          <w:bottom w:val="single" w:sz="24" w:space="0" w:color="DEEAF6"/>
          <w:right w:val="single" w:sz="24" w:space="0" w:color="DEEAF6"/>
        </w:pBdr>
        <w:shd w:val="clear" w:color="auto" w:fill="DEEAF6"/>
        <w:spacing w:after="0"/>
        <w:outlineLvl w:val="1"/>
        <w:rPr>
          <w:caps/>
          <w:spacing w:val="15"/>
        </w:rPr>
      </w:pPr>
      <w:r w:rsidRPr="00571A28">
        <w:rPr>
          <w:caps/>
          <w:spacing w:val="15"/>
        </w:rPr>
        <w:t>General Practice Experience</w:t>
      </w:r>
    </w:p>
    <w:p w14:paraId="23CCD175" w14:textId="28A6350F" w:rsidR="004C1758" w:rsidRPr="00571A28" w:rsidRDefault="004C1758" w:rsidP="004C1758">
      <w:pPr>
        <w:spacing w:after="120" w:line="240" w:lineRule="auto"/>
        <w:ind w:left="2835" w:hanging="2835"/>
      </w:pPr>
      <w:r w:rsidRPr="00571A28">
        <w:t xml:space="preserve">1980 to </w:t>
      </w:r>
      <w:r w:rsidR="00982F90">
        <w:t>2024</w:t>
      </w:r>
      <w:r w:rsidRPr="00571A28">
        <w:tab/>
      </w:r>
      <w:r w:rsidRPr="00571A28">
        <w:tab/>
        <w:t>General Practitioner</w:t>
      </w:r>
    </w:p>
    <w:p w14:paraId="038C3AF7" w14:textId="77777777" w:rsidR="004C1758" w:rsidRPr="00571A28" w:rsidRDefault="004C1758" w:rsidP="004C1758">
      <w:pPr>
        <w:tabs>
          <w:tab w:val="center" w:pos="4153"/>
          <w:tab w:val="right" w:pos="8306"/>
        </w:tabs>
        <w:spacing w:after="120" w:line="240" w:lineRule="auto"/>
      </w:pPr>
    </w:p>
    <w:p w14:paraId="35BED7D1" w14:textId="00FF26ED" w:rsidR="004C1758" w:rsidRPr="00571A28" w:rsidRDefault="004C1758" w:rsidP="004C1758">
      <w:pPr>
        <w:tabs>
          <w:tab w:val="center" w:pos="4153"/>
          <w:tab w:val="right" w:pos="8306"/>
        </w:tabs>
        <w:spacing w:after="120" w:line="240" w:lineRule="auto"/>
      </w:pPr>
      <w:r w:rsidRPr="00571A28">
        <w:t xml:space="preserve">Dr Kearsley has been a GP trainer and he has been involved in undergraduate and postgraduate teaching.  He has extensive experience of GP out of hours work and minor surgery.  He </w:t>
      </w:r>
      <w:r w:rsidR="00982F90">
        <w:t xml:space="preserve">retired from clinical practice at the end of July 2024. </w:t>
      </w:r>
      <w:r w:rsidRPr="00571A28">
        <w:t xml:space="preserve">  </w:t>
      </w:r>
    </w:p>
    <w:p w14:paraId="756A4EB4" w14:textId="77777777" w:rsidR="004C1758" w:rsidRPr="00571A28" w:rsidRDefault="004C1758" w:rsidP="004C1758">
      <w:pPr>
        <w:tabs>
          <w:tab w:val="center" w:pos="4153"/>
          <w:tab w:val="right" w:pos="8306"/>
        </w:tabs>
        <w:spacing w:after="120" w:line="240" w:lineRule="auto"/>
      </w:pPr>
      <w:r w:rsidRPr="00571A28">
        <w:t xml:space="preserve">He has in the past worked as a GP in Australia, Canada and New Zealand.  He has been involved in occupational health and clinical trials. </w:t>
      </w:r>
    </w:p>
    <w:p w14:paraId="0A5A512C" w14:textId="77777777" w:rsidR="004C1758" w:rsidRPr="00571A28" w:rsidRDefault="004C1758" w:rsidP="004C1758">
      <w:pPr>
        <w:tabs>
          <w:tab w:val="center" w:pos="4153"/>
          <w:tab w:val="right" w:pos="8306"/>
        </w:tabs>
        <w:spacing w:after="120" w:line="240" w:lineRule="auto"/>
      </w:pPr>
    </w:p>
    <w:p w14:paraId="45E8A92D" w14:textId="77777777" w:rsidR="004C1758" w:rsidRPr="00571A28" w:rsidRDefault="004C1758" w:rsidP="004C1758">
      <w:pPr>
        <w:pBdr>
          <w:top w:val="single" w:sz="24" w:space="0" w:color="DEEAF6"/>
          <w:left w:val="single" w:sz="24" w:space="0" w:color="DEEAF6"/>
          <w:bottom w:val="single" w:sz="24" w:space="0" w:color="DEEAF6"/>
          <w:right w:val="single" w:sz="24" w:space="0" w:color="DEEAF6"/>
        </w:pBdr>
        <w:shd w:val="clear" w:color="auto" w:fill="DEEAF6"/>
        <w:spacing w:after="0"/>
        <w:outlineLvl w:val="1"/>
        <w:rPr>
          <w:caps/>
          <w:spacing w:val="15"/>
        </w:rPr>
      </w:pPr>
      <w:r w:rsidRPr="00571A28">
        <w:rPr>
          <w:caps/>
          <w:spacing w:val="15"/>
        </w:rPr>
        <w:t>Hospital Experience</w:t>
      </w:r>
    </w:p>
    <w:p w14:paraId="74471C8A" w14:textId="5463C458" w:rsidR="004C1758" w:rsidRPr="00571A28" w:rsidRDefault="004C1758" w:rsidP="004C1758">
      <w:pPr>
        <w:spacing w:after="120" w:line="240" w:lineRule="auto"/>
      </w:pPr>
      <w:r w:rsidRPr="00571A28">
        <w:t>Dr Kearsley’s hospital experience includes Orthopaedics, Accident and Emergency, General Medicine, Geriatric Medicine, Dermatology, Ear Nose and Throat Surgery, General Surgery and Obstetrics and Gynaecology</w:t>
      </w:r>
      <w:r>
        <w:t>.</w:t>
      </w:r>
    </w:p>
    <w:p w14:paraId="671EC1C2" w14:textId="77777777" w:rsidR="00E455B6" w:rsidRDefault="00E455B6"/>
    <w:sectPr w:rsidR="00E455B6" w:rsidSect="009A1A5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20" w:footer="146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5CAD" w14:textId="77777777" w:rsidR="005233E5" w:rsidRDefault="005233E5">
      <w:pPr>
        <w:spacing w:before="0" w:after="0" w:line="240" w:lineRule="auto"/>
      </w:pPr>
      <w:r>
        <w:separator/>
      </w:r>
    </w:p>
  </w:endnote>
  <w:endnote w:type="continuationSeparator" w:id="0">
    <w:p w14:paraId="14D7D1FD" w14:textId="77777777" w:rsidR="005233E5" w:rsidRDefault="005233E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3B77" w14:textId="77777777" w:rsidR="00777F40" w:rsidRDefault="004C17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B9BF336" w14:textId="77777777" w:rsidR="00777F40" w:rsidRDefault="00777F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4D98C" w14:textId="77777777" w:rsidR="00777F40" w:rsidRDefault="004C17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66A0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0AADF8" w14:textId="77777777" w:rsidR="00777F40" w:rsidRDefault="00777F4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8530" w14:textId="77777777" w:rsidR="00777F40" w:rsidRDefault="00777F40">
    <w:pPr>
      <w:pStyle w:val="Footer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C1169" w14:textId="77777777" w:rsidR="005233E5" w:rsidRDefault="005233E5">
      <w:pPr>
        <w:spacing w:before="0" w:after="0" w:line="240" w:lineRule="auto"/>
      </w:pPr>
      <w:r>
        <w:separator/>
      </w:r>
    </w:p>
  </w:footnote>
  <w:footnote w:type="continuationSeparator" w:id="0">
    <w:p w14:paraId="25BC56AA" w14:textId="77777777" w:rsidR="005233E5" w:rsidRDefault="005233E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BE51" w14:textId="77777777" w:rsidR="00777F40" w:rsidRPr="005C00AF" w:rsidRDefault="004C1758">
    <w:pPr>
      <w:pStyle w:val="Header"/>
      <w:rPr>
        <w:rFonts w:ascii="Calibri Light" w:hAnsi="Calibri Light"/>
        <w:sz w:val="16"/>
        <w:szCs w:val="16"/>
      </w:rPr>
    </w:pPr>
    <w:r w:rsidRPr="005C00AF">
      <w:rPr>
        <w:rFonts w:ascii="Calibri Light" w:hAnsi="Calibri Light"/>
        <w:sz w:val="16"/>
        <w:szCs w:val="16"/>
      </w:rPr>
      <w:t>Clinical Negligence Report of Dr Nicholas Kearsley, General Practitioner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0019D"/>
    <w:multiLevelType w:val="singleLevel"/>
    <w:tmpl w:val="30800B66"/>
    <w:lvl w:ilvl="0">
      <w:start w:val="1979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" w15:restartNumberingAfterBreak="0">
    <w:nsid w:val="6C391B02"/>
    <w:multiLevelType w:val="singleLevel"/>
    <w:tmpl w:val="A948B846"/>
    <w:lvl w:ilvl="0">
      <w:start w:val="1984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 w16cid:durableId="2139258309">
    <w:abstractNumId w:val="1"/>
  </w:num>
  <w:num w:numId="2" w16cid:durableId="119901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758"/>
    <w:rsid w:val="00366E87"/>
    <w:rsid w:val="003A2107"/>
    <w:rsid w:val="004C1758"/>
    <w:rsid w:val="005066A0"/>
    <w:rsid w:val="005233E5"/>
    <w:rsid w:val="00593CBB"/>
    <w:rsid w:val="006B1D31"/>
    <w:rsid w:val="00777F40"/>
    <w:rsid w:val="00982F90"/>
    <w:rsid w:val="00A72103"/>
    <w:rsid w:val="00E455B6"/>
    <w:rsid w:val="00EE7591"/>
    <w:rsid w:val="00F2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D387"/>
  <w15:chartTrackingRefBased/>
  <w15:docId w15:val="{06AE8AE8-252D-4561-BBDA-DA0CD2BA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758"/>
    <w:pPr>
      <w:spacing w:before="100" w:after="200" w:line="276" w:lineRule="auto"/>
    </w:pPr>
    <w:rPr>
      <w:rFonts w:eastAsiaTheme="minorEastAsia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1758"/>
    <w:pPr>
      <w:tabs>
        <w:tab w:val="left" w:pos="3628"/>
        <w:tab w:val="center" w:pos="4153"/>
        <w:tab w:val="right" w:pos="8306"/>
      </w:tabs>
      <w:spacing w:line="36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C1758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4C175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C1758"/>
    <w:rPr>
      <w:rFonts w:eastAsiaTheme="minorEastAsia"/>
      <w:sz w:val="20"/>
      <w:szCs w:val="20"/>
      <w:lang w:eastAsia="en-GB"/>
    </w:rPr>
  </w:style>
  <w:style w:type="character" w:styleId="PageNumber">
    <w:name w:val="page number"/>
    <w:basedOn w:val="DefaultParagraphFont"/>
    <w:rsid w:val="004C1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 Kearsley</cp:lastModifiedBy>
  <cp:revision>3</cp:revision>
  <cp:lastPrinted>2017-01-23T12:28:00Z</cp:lastPrinted>
  <dcterms:created xsi:type="dcterms:W3CDTF">2024-07-31T12:04:00Z</dcterms:created>
  <dcterms:modified xsi:type="dcterms:W3CDTF">2025-02-19T14:44:00Z</dcterms:modified>
</cp:coreProperties>
</file>